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4EE988A"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269E81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0C6083">
                              <w:rPr>
                                <w:rFonts w:ascii="Arial" w:hAnsi="Arial" w:cs="Arial"/>
                                <w:bCs/>
                                <w:color w:val="000000"/>
                                <w:sz w:val="13"/>
                                <w:szCs w:val="13"/>
                              </w:rPr>
                              <w:t>02</w:t>
                            </w:r>
                            <w:r w:rsidR="00FA1312" w:rsidRPr="00986B1C">
                              <w:rPr>
                                <w:rFonts w:ascii="Arial" w:hAnsi="Arial" w:cs="Arial"/>
                                <w:bCs/>
                                <w:color w:val="000000"/>
                                <w:sz w:val="13"/>
                                <w:szCs w:val="13"/>
                              </w:rPr>
                              <w:t xml:space="preserve">. </w:t>
                            </w:r>
                            <w:r w:rsidR="000C6083">
                              <w:rPr>
                                <w:rFonts w:ascii="Arial" w:hAnsi="Arial" w:cs="Arial"/>
                                <w:bCs/>
                                <w:color w:val="000000"/>
                                <w:sz w:val="13"/>
                                <w:szCs w:val="13"/>
                              </w:rPr>
                              <w:t>August</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269E81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0C6083">
                        <w:rPr>
                          <w:rFonts w:ascii="Arial" w:hAnsi="Arial" w:cs="Arial"/>
                          <w:bCs/>
                          <w:color w:val="000000"/>
                          <w:sz w:val="13"/>
                          <w:szCs w:val="13"/>
                        </w:rPr>
                        <w:t>02</w:t>
                      </w:r>
                      <w:r w:rsidR="00FA1312" w:rsidRPr="00986B1C">
                        <w:rPr>
                          <w:rFonts w:ascii="Arial" w:hAnsi="Arial" w:cs="Arial"/>
                          <w:bCs/>
                          <w:color w:val="000000"/>
                          <w:sz w:val="13"/>
                          <w:szCs w:val="13"/>
                        </w:rPr>
                        <w:t xml:space="preserve">. </w:t>
                      </w:r>
                      <w:r w:rsidR="000C6083">
                        <w:rPr>
                          <w:rFonts w:ascii="Arial" w:hAnsi="Arial" w:cs="Arial"/>
                          <w:bCs/>
                          <w:color w:val="000000"/>
                          <w:sz w:val="13"/>
                          <w:szCs w:val="13"/>
                        </w:rPr>
                        <w:t>August</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65750C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0C6083">
                              <w:rPr>
                                <w:rFonts w:ascii="Arial" w:hAnsi="Arial" w:cs="Arial"/>
                                <w:b/>
                                <w:bCs/>
                                <w:color w:val="000000"/>
                                <w:sz w:val="13"/>
                                <w:szCs w:val="13"/>
                              </w:rPr>
                              <w:t>02</w:t>
                            </w:r>
                            <w:r w:rsidR="0046388E">
                              <w:rPr>
                                <w:rFonts w:ascii="Arial" w:hAnsi="Arial" w:cs="Arial"/>
                                <w:b/>
                                <w:bCs/>
                                <w:color w:val="000000"/>
                                <w:sz w:val="13"/>
                                <w:szCs w:val="13"/>
                              </w:rPr>
                              <w:t>.0</w:t>
                            </w:r>
                            <w:r w:rsidR="000C6083">
                              <w:rPr>
                                <w:rFonts w:ascii="Arial" w:hAnsi="Arial" w:cs="Arial"/>
                                <w:b/>
                                <w:bCs/>
                                <w:color w:val="000000"/>
                                <w:sz w:val="13"/>
                                <w:szCs w:val="13"/>
                              </w:rPr>
                              <w:t>8</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65750C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0C6083">
                        <w:rPr>
                          <w:rFonts w:ascii="Arial" w:hAnsi="Arial" w:cs="Arial"/>
                          <w:b/>
                          <w:bCs/>
                          <w:color w:val="000000"/>
                          <w:sz w:val="13"/>
                          <w:szCs w:val="13"/>
                        </w:rPr>
                        <w:t>02</w:t>
                      </w:r>
                      <w:r w:rsidR="0046388E">
                        <w:rPr>
                          <w:rFonts w:ascii="Arial" w:hAnsi="Arial" w:cs="Arial"/>
                          <w:b/>
                          <w:bCs/>
                          <w:color w:val="000000"/>
                          <w:sz w:val="13"/>
                          <w:szCs w:val="13"/>
                        </w:rPr>
                        <w:t>.0</w:t>
                      </w:r>
                      <w:r w:rsidR="000C6083">
                        <w:rPr>
                          <w:rFonts w:ascii="Arial" w:hAnsi="Arial" w:cs="Arial"/>
                          <w:b/>
                          <w:bCs/>
                          <w:color w:val="000000"/>
                          <w:sz w:val="13"/>
                          <w:szCs w:val="13"/>
                        </w:rPr>
                        <w:t>8</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9678F5">
        <w:rPr>
          <w:rFonts w:ascii="Arial" w:hAnsi="Arial" w:cs="Arial"/>
          <w:b/>
          <w:color w:val="000000"/>
          <w:sz w:val="20"/>
          <w:szCs w:val="19"/>
        </w:rPr>
        <w:t xml:space="preserve">Report von HSHL-Forschenden zeigt: Digitale User-Experience wird zum wichtigsten Unterscheidungsmerkmal im Marketing </w:t>
      </w:r>
    </w:p>
    <w:p w14:paraId="02069E30" w14:textId="2B889B00" w:rsidR="009678F5" w:rsidRPr="00E66428" w:rsidRDefault="009678F5" w:rsidP="00E66428">
      <w:pPr>
        <w:widowControl w:val="0"/>
        <w:autoSpaceDE w:val="0"/>
        <w:autoSpaceDN w:val="0"/>
        <w:adjustRightInd w:val="0"/>
        <w:spacing w:after="160" w:line="270" w:lineRule="exact"/>
        <w:jc w:val="both"/>
        <w:rPr>
          <w:rFonts w:ascii="Arial" w:hAnsi="Arial" w:cs="Arial"/>
          <w:color w:val="000000"/>
          <w:sz w:val="20"/>
          <w:szCs w:val="19"/>
        </w:rPr>
      </w:pPr>
      <w:r w:rsidRPr="00E66428">
        <w:rPr>
          <w:rFonts w:ascii="Arial" w:hAnsi="Arial" w:cs="Arial"/>
          <w:color w:val="000000"/>
          <w:sz w:val="20"/>
          <w:szCs w:val="19"/>
        </w:rPr>
        <w:t xml:space="preserve">Wie entwickeln sich B2B-Customer in der digitalen Welt? Wie wirken sich die umwälzenden technologischen Veränderungen in der jüngsten Vergangenheit und die ungewissen Zukunftsaussichten auf den digitalen Unternehmenskontakt aus? Was müssen Unternehmen </w:t>
      </w:r>
      <w:r w:rsidR="000C6083">
        <w:rPr>
          <w:rFonts w:ascii="Arial" w:hAnsi="Arial" w:cs="Arial"/>
          <w:color w:val="000000"/>
          <w:sz w:val="20"/>
          <w:szCs w:val="19"/>
        </w:rPr>
        <w:t>beachten</w:t>
      </w:r>
      <w:r w:rsidRPr="00E66428">
        <w:rPr>
          <w:rFonts w:ascii="Arial" w:hAnsi="Arial" w:cs="Arial"/>
          <w:color w:val="000000"/>
          <w:sz w:val="20"/>
          <w:szCs w:val="19"/>
        </w:rPr>
        <w:t>, um in fünf Jahren auf der Höhe der Zeit zu sein? Diesen Fragen ist das Marketing</w:t>
      </w:r>
      <w:r w:rsidR="001E5C11">
        <w:rPr>
          <w:rFonts w:ascii="Arial" w:hAnsi="Arial" w:cs="Arial"/>
          <w:color w:val="000000"/>
          <w:sz w:val="20"/>
          <w:szCs w:val="19"/>
        </w:rPr>
        <w:t>-</w:t>
      </w:r>
      <w:proofErr w:type="spellStart"/>
      <w:r w:rsidRPr="00E66428">
        <w:rPr>
          <w:rFonts w:ascii="Arial" w:hAnsi="Arial" w:cs="Arial"/>
          <w:color w:val="000000"/>
          <w:sz w:val="20"/>
          <w:szCs w:val="19"/>
        </w:rPr>
        <w:t>Foresight</w:t>
      </w:r>
      <w:proofErr w:type="spellEnd"/>
      <w:r w:rsidR="001E5C11">
        <w:rPr>
          <w:rFonts w:ascii="Arial" w:hAnsi="Arial" w:cs="Arial"/>
          <w:color w:val="000000"/>
          <w:sz w:val="20"/>
          <w:szCs w:val="19"/>
        </w:rPr>
        <w:t>-</w:t>
      </w:r>
      <w:r w:rsidRPr="00E66428">
        <w:rPr>
          <w:rFonts w:ascii="Arial" w:hAnsi="Arial" w:cs="Arial"/>
          <w:color w:val="000000"/>
          <w:sz w:val="20"/>
          <w:szCs w:val="19"/>
        </w:rPr>
        <w:t xml:space="preserve">Lab der Hochschule Hamm-Lippstadt (HSHL) zusammen mit ausgewiesenen Expertinnen und Experten aus dem B2B-Marketing nachgegangen. </w:t>
      </w:r>
    </w:p>
    <w:p w14:paraId="41B4FDB3" w14:textId="34BBB314" w:rsidR="009678F5" w:rsidRPr="00E66428" w:rsidRDefault="009678F5" w:rsidP="00E66428">
      <w:pPr>
        <w:widowControl w:val="0"/>
        <w:autoSpaceDE w:val="0"/>
        <w:autoSpaceDN w:val="0"/>
        <w:adjustRightInd w:val="0"/>
        <w:spacing w:after="160" w:line="270" w:lineRule="exact"/>
        <w:jc w:val="both"/>
        <w:rPr>
          <w:rFonts w:ascii="Arial" w:hAnsi="Arial" w:cs="Arial"/>
          <w:color w:val="000000"/>
          <w:sz w:val="20"/>
          <w:szCs w:val="19"/>
        </w:rPr>
      </w:pPr>
      <w:r w:rsidRPr="00E66428">
        <w:rPr>
          <w:rFonts w:ascii="Arial" w:hAnsi="Arial" w:cs="Arial"/>
          <w:color w:val="000000"/>
          <w:sz w:val="20"/>
          <w:szCs w:val="19"/>
        </w:rPr>
        <w:t>Die wichtigsten Ergebnisse für die Unternehmen mit dem Blick auf die Customer in fünf Jahren</w:t>
      </w:r>
      <w:r w:rsidR="00E66428">
        <w:rPr>
          <w:rFonts w:ascii="Arial" w:hAnsi="Arial" w:cs="Arial"/>
          <w:color w:val="000000"/>
          <w:sz w:val="20"/>
          <w:szCs w:val="19"/>
        </w:rPr>
        <w:t xml:space="preserve"> im Überblick</w:t>
      </w:r>
      <w:r w:rsidRPr="00E66428">
        <w:rPr>
          <w:rFonts w:ascii="Arial" w:hAnsi="Arial" w:cs="Arial"/>
          <w:color w:val="000000"/>
          <w:sz w:val="20"/>
          <w:szCs w:val="19"/>
        </w:rPr>
        <w:t>:</w:t>
      </w:r>
    </w:p>
    <w:p w14:paraId="53C9E56A" w14:textId="77777777" w:rsidR="009678F5" w:rsidRPr="00E66428" w:rsidRDefault="009678F5" w:rsidP="00E66428">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E66428">
        <w:rPr>
          <w:rFonts w:ascii="Arial" w:hAnsi="Arial" w:cs="Arial"/>
          <w:color w:val="000000"/>
          <w:sz w:val="20"/>
          <w:szCs w:val="19"/>
        </w:rPr>
        <w:t>Die Digital Customer Experience wird zum wichtigsten Wettbewerbsvorteil</w:t>
      </w:r>
    </w:p>
    <w:p w14:paraId="0373081A" w14:textId="77777777" w:rsidR="009678F5" w:rsidRPr="00E66428" w:rsidRDefault="009678F5" w:rsidP="00E66428">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E66428">
        <w:rPr>
          <w:rFonts w:ascii="Arial" w:hAnsi="Arial" w:cs="Arial"/>
          <w:color w:val="000000"/>
          <w:sz w:val="20"/>
          <w:szCs w:val="19"/>
        </w:rPr>
        <w:t>Digitale Selbstbedienungskanäle werden zum Standard werden (teilweise auch für komplexe Produkte)</w:t>
      </w:r>
    </w:p>
    <w:p w14:paraId="6F0A72D5" w14:textId="77777777" w:rsidR="009678F5" w:rsidRPr="00E66428" w:rsidRDefault="009678F5" w:rsidP="00E66428">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E66428">
        <w:rPr>
          <w:rFonts w:ascii="Arial" w:hAnsi="Arial" w:cs="Arial"/>
          <w:color w:val="000000"/>
          <w:sz w:val="20"/>
          <w:szCs w:val="19"/>
        </w:rPr>
        <w:t>Der persönliche Kundenkontakt wird in der Quantität abnehmen und gleichzeitig qualitativ an Bedeutung gewinnen</w:t>
      </w:r>
    </w:p>
    <w:p w14:paraId="6B198F03" w14:textId="77777777" w:rsidR="00E66428" w:rsidRDefault="009678F5" w:rsidP="00E66428">
      <w:pPr>
        <w:widowControl w:val="0"/>
        <w:autoSpaceDE w:val="0"/>
        <w:autoSpaceDN w:val="0"/>
        <w:adjustRightInd w:val="0"/>
        <w:spacing w:after="160" w:line="270" w:lineRule="exact"/>
        <w:jc w:val="both"/>
        <w:rPr>
          <w:rFonts w:ascii="Arial" w:hAnsi="Arial" w:cs="Arial"/>
          <w:color w:val="000000"/>
          <w:sz w:val="20"/>
          <w:szCs w:val="19"/>
        </w:rPr>
      </w:pPr>
      <w:r w:rsidRPr="00E66428">
        <w:rPr>
          <w:rFonts w:ascii="Arial" w:hAnsi="Arial" w:cs="Arial"/>
          <w:color w:val="000000"/>
          <w:sz w:val="20"/>
          <w:szCs w:val="19"/>
        </w:rPr>
        <w:t xml:space="preserve">Die vorherrschende Wahrnehmung der Expertinnen und Experten </w:t>
      </w:r>
      <w:proofErr w:type="gramStart"/>
      <w:r w:rsidRPr="00E66428">
        <w:rPr>
          <w:rFonts w:ascii="Arial" w:hAnsi="Arial" w:cs="Arial"/>
          <w:color w:val="000000"/>
          <w:sz w:val="20"/>
          <w:szCs w:val="19"/>
        </w:rPr>
        <w:t>ist</w:t>
      </w:r>
      <w:proofErr w:type="gramEnd"/>
      <w:r w:rsidRPr="00E66428">
        <w:rPr>
          <w:rFonts w:ascii="Arial" w:hAnsi="Arial" w:cs="Arial"/>
          <w:color w:val="000000"/>
          <w:sz w:val="20"/>
          <w:szCs w:val="19"/>
        </w:rPr>
        <w:t xml:space="preserve">, dass die Digitalisierung in Deutschland immer noch mit „angezogener Handbremse“ läuft, während sich gleichzeitig die Erwartungen der Kundinnen und Kunden steigern. </w:t>
      </w:r>
    </w:p>
    <w:p w14:paraId="16A03EE1" w14:textId="79063DB7" w:rsidR="009678F5" w:rsidRPr="00E66428" w:rsidRDefault="009678F5" w:rsidP="00E66428">
      <w:pPr>
        <w:widowControl w:val="0"/>
        <w:autoSpaceDE w:val="0"/>
        <w:autoSpaceDN w:val="0"/>
        <w:adjustRightInd w:val="0"/>
        <w:spacing w:after="160" w:line="270" w:lineRule="exact"/>
        <w:jc w:val="both"/>
        <w:rPr>
          <w:rFonts w:ascii="Arial" w:hAnsi="Arial" w:cs="Arial"/>
          <w:color w:val="000000"/>
          <w:sz w:val="20"/>
          <w:szCs w:val="19"/>
        </w:rPr>
      </w:pPr>
      <w:r w:rsidRPr="00E66428">
        <w:rPr>
          <w:rFonts w:ascii="Arial" w:hAnsi="Arial" w:cs="Arial"/>
          <w:color w:val="000000"/>
          <w:sz w:val="20"/>
          <w:szCs w:val="19"/>
        </w:rPr>
        <w:t>Spätestens in fünf Jahren werden verstärkt auch komplexe Einkaufsprozesse entlang der gesamten Customer Journey digital und individualisiert durchgeführt. Die Gründe dafür sind unter anderem, dass die Entscheiderinnen und Entscheider der „Boomer“-Generation in Rente gehen und die jüngere Generation mehr Transparenz und Schnelligkeit durch digitale Prozesse einfordert. Bestellprozesse, bei denen zwanzig Dokumente handschriftlich ausgefüllt werden</w:t>
      </w:r>
      <w:r w:rsidR="00C9311F">
        <w:rPr>
          <w:rFonts w:ascii="Arial" w:hAnsi="Arial" w:cs="Arial"/>
          <w:color w:val="000000"/>
          <w:sz w:val="20"/>
          <w:szCs w:val="19"/>
        </w:rPr>
        <w:t>,</w:t>
      </w:r>
      <w:r w:rsidRPr="00E66428">
        <w:rPr>
          <w:rFonts w:ascii="Arial" w:hAnsi="Arial" w:cs="Arial"/>
          <w:color w:val="000000"/>
          <w:sz w:val="20"/>
          <w:szCs w:val="19"/>
        </w:rPr>
        <w:t xml:space="preserve"> seien schlichtweg nicht mehr möglich. Die „</w:t>
      </w:r>
      <w:proofErr w:type="spellStart"/>
      <w:r w:rsidRPr="00E66428">
        <w:rPr>
          <w:rFonts w:ascii="Arial" w:hAnsi="Arial" w:cs="Arial"/>
          <w:color w:val="000000"/>
          <w:sz w:val="20"/>
          <w:szCs w:val="19"/>
        </w:rPr>
        <w:t>Amazonification</w:t>
      </w:r>
      <w:proofErr w:type="spellEnd"/>
      <w:r w:rsidRPr="00E66428">
        <w:rPr>
          <w:rFonts w:ascii="Arial" w:hAnsi="Arial" w:cs="Arial"/>
          <w:color w:val="000000"/>
          <w:sz w:val="20"/>
          <w:szCs w:val="19"/>
        </w:rPr>
        <w:t xml:space="preserve">“ der User-Experience wird zum Muss. Die Produkte an sich geraten dabei immer mehr in den Hintergrund. Die digitale Customer Experience sowie die Sichtbarkeit im </w:t>
      </w:r>
      <w:r w:rsidR="00E66428">
        <w:rPr>
          <w:rFonts w:ascii="Arial" w:hAnsi="Arial" w:cs="Arial"/>
          <w:color w:val="000000"/>
          <w:sz w:val="20"/>
          <w:szCs w:val="19"/>
        </w:rPr>
        <w:t>Internet</w:t>
      </w:r>
      <w:r w:rsidRPr="00E66428">
        <w:rPr>
          <w:rFonts w:ascii="Arial" w:hAnsi="Arial" w:cs="Arial"/>
          <w:color w:val="000000"/>
          <w:sz w:val="20"/>
          <w:szCs w:val="19"/>
        </w:rPr>
        <w:t xml:space="preserve"> wird dagegen das Aushängeschild der Unternehmen werden.</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485A6F5F" w14:textId="6E7509B0" w:rsidR="00E66428" w:rsidRPr="00E66428" w:rsidRDefault="00E66428" w:rsidP="00E66428">
      <w:pPr>
        <w:widowControl w:val="0"/>
        <w:autoSpaceDE w:val="0"/>
        <w:autoSpaceDN w:val="0"/>
        <w:adjustRightInd w:val="0"/>
        <w:spacing w:after="160" w:line="270" w:lineRule="exact"/>
        <w:jc w:val="both"/>
        <w:rPr>
          <w:rFonts w:ascii="Arial" w:hAnsi="Arial" w:cs="Arial"/>
          <w:color w:val="000000"/>
          <w:sz w:val="20"/>
          <w:szCs w:val="19"/>
        </w:rPr>
      </w:pPr>
      <w:r w:rsidRPr="00E66428">
        <w:rPr>
          <w:rFonts w:ascii="Arial" w:hAnsi="Arial" w:cs="Arial"/>
          <w:color w:val="000000"/>
          <w:sz w:val="20"/>
          <w:szCs w:val="19"/>
        </w:rPr>
        <w:t xml:space="preserve">Alle Ergebnisse des Marketing </w:t>
      </w:r>
      <w:proofErr w:type="spellStart"/>
      <w:r w:rsidRPr="00E66428">
        <w:rPr>
          <w:rFonts w:ascii="Arial" w:hAnsi="Arial" w:cs="Arial"/>
          <w:color w:val="000000"/>
          <w:sz w:val="20"/>
          <w:szCs w:val="19"/>
        </w:rPr>
        <w:t>Foresight</w:t>
      </w:r>
      <w:proofErr w:type="spellEnd"/>
      <w:r w:rsidRPr="00E66428">
        <w:rPr>
          <w:rFonts w:ascii="Arial" w:hAnsi="Arial" w:cs="Arial"/>
          <w:color w:val="000000"/>
          <w:sz w:val="20"/>
          <w:szCs w:val="19"/>
        </w:rPr>
        <w:t xml:space="preserve"> Lab finden Sie hier:</w:t>
      </w:r>
      <w:r w:rsidR="001E5C11">
        <w:rPr>
          <w:rFonts w:ascii="Arial" w:hAnsi="Arial" w:cs="Arial"/>
          <w:color w:val="000000"/>
          <w:sz w:val="20"/>
          <w:szCs w:val="19"/>
        </w:rPr>
        <w:t xml:space="preserve"> </w:t>
      </w:r>
      <w:hyperlink r:id="rId9" w:history="1">
        <w:r w:rsidR="001E5C11" w:rsidRPr="001E5C11">
          <w:rPr>
            <w:rStyle w:val="Hyperlink"/>
            <w:rFonts w:ascii="Arial" w:hAnsi="Arial" w:cs="Arial"/>
            <w:sz w:val="20"/>
            <w:szCs w:val="19"/>
          </w:rPr>
          <w:t>https://www.hshl.de/forschungsprojekt-dks/</w:t>
        </w:r>
      </w:hyperlink>
    </w:p>
    <w:p w14:paraId="5DBC0CC5" w14:textId="77777777" w:rsidR="00E66428" w:rsidRPr="00E66428" w:rsidRDefault="00E66428" w:rsidP="00E66428">
      <w:pPr>
        <w:widowControl w:val="0"/>
        <w:autoSpaceDE w:val="0"/>
        <w:autoSpaceDN w:val="0"/>
        <w:adjustRightInd w:val="0"/>
        <w:spacing w:after="160" w:line="270" w:lineRule="exact"/>
        <w:jc w:val="both"/>
        <w:rPr>
          <w:rFonts w:ascii="Arial" w:hAnsi="Arial" w:cs="Arial"/>
          <w:color w:val="000000"/>
          <w:sz w:val="20"/>
          <w:szCs w:val="19"/>
        </w:rPr>
      </w:pPr>
      <w:r w:rsidRPr="00E66428">
        <w:rPr>
          <w:rFonts w:ascii="Arial" w:hAnsi="Arial" w:cs="Arial"/>
          <w:color w:val="000000"/>
          <w:sz w:val="20"/>
          <w:szCs w:val="19"/>
        </w:rPr>
        <w:t xml:space="preserve">Das Marketing </w:t>
      </w:r>
      <w:proofErr w:type="spellStart"/>
      <w:r w:rsidRPr="00E66428">
        <w:rPr>
          <w:rFonts w:ascii="Arial" w:hAnsi="Arial" w:cs="Arial"/>
          <w:color w:val="000000"/>
          <w:sz w:val="20"/>
          <w:szCs w:val="19"/>
        </w:rPr>
        <w:t>Foresight</w:t>
      </w:r>
      <w:proofErr w:type="spellEnd"/>
      <w:r w:rsidRPr="00E66428">
        <w:rPr>
          <w:rFonts w:ascii="Arial" w:hAnsi="Arial" w:cs="Arial"/>
          <w:color w:val="000000"/>
          <w:sz w:val="20"/>
          <w:szCs w:val="19"/>
        </w:rPr>
        <w:t xml:space="preserve"> Lab der Hochschule Hamm-Lippstadt untersucht Zukunftsentwicklungen für das Marketing von B2B-Unternehmen. Bei der vorliegenden Untersuchung zum Thema „Wie entwickeln sich B2B-Kunden in den nächsten fünf Jahren weiter und was bedeutet das für den digitalen Kundenkontakt?“ haben die Expertin Anja Sommerfeld (</w:t>
      </w:r>
      <w:proofErr w:type="spellStart"/>
      <w:r w:rsidRPr="00E66428">
        <w:rPr>
          <w:rFonts w:ascii="Arial" w:hAnsi="Arial" w:cs="Arial"/>
          <w:color w:val="000000"/>
          <w:sz w:val="20"/>
          <w:szCs w:val="19"/>
        </w:rPr>
        <w:t>rosami</w:t>
      </w:r>
      <w:proofErr w:type="spellEnd"/>
      <w:r w:rsidRPr="00E66428">
        <w:rPr>
          <w:rFonts w:ascii="Arial" w:hAnsi="Arial" w:cs="Arial"/>
          <w:color w:val="000000"/>
          <w:sz w:val="20"/>
          <w:szCs w:val="19"/>
        </w:rPr>
        <w:t>) und die Experten Mark Herten (</w:t>
      </w:r>
      <w:proofErr w:type="spellStart"/>
      <w:r w:rsidRPr="00E66428">
        <w:rPr>
          <w:rFonts w:ascii="Arial" w:hAnsi="Arial" w:cs="Arial"/>
          <w:color w:val="000000"/>
          <w:sz w:val="20"/>
          <w:szCs w:val="19"/>
        </w:rPr>
        <w:t>Publitek</w:t>
      </w:r>
      <w:proofErr w:type="spellEnd"/>
      <w:r w:rsidRPr="00E66428">
        <w:rPr>
          <w:rFonts w:ascii="Arial" w:hAnsi="Arial" w:cs="Arial"/>
          <w:color w:val="000000"/>
          <w:sz w:val="20"/>
          <w:szCs w:val="19"/>
        </w:rPr>
        <w:t xml:space="preserve"> GmbH), Klaus-Peter Grave (Smart CJM GmbH) und Patrick Renner (Raumtänzer GmbH) teilgenommen. Geleitet wurde das Expertengespräch von Prof. Dr. Uwe Kleinkes und Marcel Hildebrand. Außerdem beschäftigt sich der Masterstudent Jannik Dieckmann derzeit mit der </w:t>
      </w:r>
      <w:r w:rsidRPr="00E66428">
        <w:rPr>
          <w:rFonts w:ascii="Arial" w:hAnsi="Arial" w:cs="Arial"/>
          <w:color w:val="000000"/>
          <w:sz w:val="20"/>
          <w:szCs w:val="19"/>
        </w:rPr>
        <w:lastRenderedPageBreak/>
        <w:t xml:space="preserve">Veränderung des digitalen Kundenkontakts im B2B-Geschäft und nahm ebenfalls an der Veranstaltung teil. </w:t>
      </w:r>
    </w:p>
    <w:p w14:paraId="6CDE947C" w14:textId="7CD6893D" w:rsidR="00E13F6D" w:rsidRPr="00E13F6D" w:rsidRDefault="00E66428" w:rsidP="00986B1C">
      <w:pPr>
        <w:widowControl w:val="0"/>
        <w:autoSpaceDE w:val="0"/>
        <w:autoSpaceDN w:val="0"/>
        <w:adjustRightInd w:val="0"/>
        <w:spacing w:after="160" w:line="270" w:lineRule="exact"/>
        <w:jc w:val="both"/>
        <w:rPr>
          <w:rFonts w:ascii="Arial" w:hAnsi="Arial" w:cs="Arial"/>
          <w:color w:val="000000"/>
          <w:sz w:val="20"/>
          <w:szCs w:val="19"/>
        </w:rPr>
      </w:pPr>
      <w:r w:rsidRPr="00E66428">
        <w:rPr>
          <w:rFonts w:ascii="Arial" w:hAnsi="Arial" w:cs="Arial"/>
          <w:color w:val="000000"/>
          <w:sz w:val="20"/>
          <w:szCs w:val="19"/>
        </w:rPr>
        <w:t>Das Marketing</w:t>
      </w:r>
      <w:r w:rsidR="000C6083">
        <w:rPr>
          <w:rFonts w:ascii="Arial" w:hAnsi="Arial" w:cs="Arial"/>
          <w:color w:val="000000"/>
          <w:sz w:val="20"/>
          <w:szCs w:val="19"/>
        </w:rPr>
        <w:t>-</w:t>
      </w:r>
      <w:proofErr w:type="spellStart"/>
      <w:r w:rsidRPr="00E66428">
        <w:rPr>
          <w:rFonts w:ascii="Arial" w:hAnsi="Arial" w:cs="Arial"/>
          <w:color w:val="000000"/>
          <w:sz w:val="20"/>
          <w:szCs w:val="19"/>
        </w:rPr>
        <w:t>Foresight</w:t>
      </w:r>
      <w:proofErr w:type="spellEnd"/>
      <w:r w:rsidR="000C6083">
        <w:rPr>
          <w:rFonts w:ascii="Arial" w:hAnsi="Arial" w:cs="Arial"/>
          <w:color w:val="000000"/>
          <w:sz w:val="20"/>
          <w:szCs w:val="19"/>
        </w:rPr>
        <w:t>-</w:t>
      </w:r>
      <w:r w:rsidRPr="00E66428">
        <w:rPr>
          <w:rFonts w:ascii="Arial" w:hAnsi="Arial" w:cs="Arial"/>
          <w:color w:val="000000"/>
          <w:sz w:val="20"/>
          <w:szCs w:val="19"/>
        </w:rPr>
        <w:t xml:space="preserve">Lab ist Teil des Projekts </w:t>
      </w:r>
      <w:hyperlink r:id="rId10" w:history="1">
        <w:r w:rsidRPr="00E66428">
          <w:rPr>
            <w:rFonts w:ascii="Arial" w:hAnsi="Arial" w:cs="Arial"/>
            <w:color w:val="000000"/>
            <w:sz w:val="20"/>
            <w:szCs w:val="19"/>
          </w:rPr>
          <w:t>www.digital-verbunden.net</w:t>
        </w:r>
      </w:hyperlink>
      <w:r w:rsidRPr="00E66428">
        <w:rPr>
          <w:rFonts w:ascii="Arial" w:hAnsi="Arial" w:cs="Arial"/>
          <w:color w:val="000000"/>
          <w:sz w:val="20"/>
          <w:szCs w:val="19"/>
        </w:rPr>
        <w:t xml:space="preserve">, </w:t>
      </w:r>
      <w:proofErr w:type="gramStart"/>
      <w:r w:rsidRPr="00E66428">
        <w:rPr>
          <w:rFonts w:ascii="Arial" w:hAnsi="Arial" w:cs="Arial"/>
          <w:color w:val="000000"/>
          <w:sz w:val="20"/>
          <w:szCs w:val="19"/>
        </w:rPr>
        <w:t>das</w:t>
      </w:r>
      <w:proofErr w:type="gramEnd"/>
      <w:r w:rsidRPr="00E66428">
        <w:rPr>
          <w:rFonts w:ascii="Arial" w:hAnsi="Arial" w:cs="Arial"/>
          <w:color w:val="000000"/>
          <w:sz w:val="20"/>
          <w:szCs w:val="19"/>
        </w:rPr>
        <w:t xml:space="preserve"> die Hochschule Hamm-Lippstadt zusammen mit </w:t>
      </w:r>
      <w:proofErr w:type="spellStart"/>
      <w:r w:rsidRPr="00E66428">
        <w:rPr>
          <w:rFonts w:ascii="Arial" w:hAnsi="Arial" w:cs="Arial"/>
          <w:color w:val="000000"/>
          <w:sz w:val="20"/>
          <w:szCs w:val="19"/>
        </w:rPr>
        <w:t>InnoZent</w:t>
      </w:r>
      <w:proofErr w:type="spellEnd"/>
      <w:r w:rsidRPr="00E66428">
        <w:rPr>
          <w:rFonts w:ascii="Arial" w:hAnsi="Arial" w:cs="Arial"/>
          <w:color w:val="000000"/>
          <w:sz w:val="20"/>
          <w:szCs w:val="19"/>
        </w:rPr>
        <w:t xml:space="preserve"> OWL und der Wirtschaftsförderung Dortmund durchführt. </w:t>
      </w: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A218E" w14:textId="77777777" w:rsidR="00BC7884" w:rsidRDefault="00BC7884" w:rsidP="00986B1C">
      <w:r>
        <w:separator/>
      </w:r>
    </w:p>
  </w:endnote>
  <w:endnote w:type="continuationSeparator" w:id="0">
    <w:p w14:paraId="5FFBA383" w14:textId="77777777" w:rsidR="00BC7884" w:rsidRDefault="00BC7884"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A4B51" w14:textId="77777777" w:rsidR="00BC7884" w:rsidRDefault="00BC7884" w:rsidP="00986B1C">
      <w:r>
        <w:separator/>
      </w:r>
    </w:p>
  </w:footnote>
  <w:footnote w:type="continuationSeparator" w:id="0">
    <w:p w14:paraId="73F3CD56" w14:textId="77777777" w:rsidR="00BC7884" w:rsidRDefault="00BC7884"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14D36"/>
    <w:multiLevelType w:val="hybridMultilevel"/>
    <w:tmpl w:val="9586D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E446F8"/>
    <w:multiLevelType w:val="hybridMultilevel"/>
    <w:tmpl w:val="C71E6308"/>
    <w:lvl w:ilvl="0" w:tplc="7EA03616">
      <w:start w:val="1"/>
      <w:numFmt w:val="bullet"/>
      <w:lvlText w:val=""/>
      <w:lvlJc w:val="left"/>
      <w:pPr>
        <w:ind w:left="720" w:hanging="360"/>
      </w:pPr>
      <w:rPr>
        <w:rFonts w:ascii="Symbol" w:hAnsi="Symbol" w:hint="default"/>
      </w:rPr>
    </w:lvl>
    <w:lvl w:ilvl="1" w:tplc="59AEBD82">
      <w:start w:val="1"/>
      <w:numFmt w:val="bullet"/>
      <w:lvlText w:val="o"/>
      <w:lvlJc w:val="left"/>
      <w:pPr>
        <w:ind w:left="1440" w:hanging="360"/>
      </w:pPr>
      <w:rPr>
        <w:rFonts w:ascii="Courier New" w:hAnsi="Courier New" w:cs="Courier New" w:hint="default"/>
      </w:rPr>
    </w:lvl>
    <w:lvl w:ilvl="2" w:tplc="AEAEC77E">
      <w:start w:val="1"/>
      <w:numFmt w:val="bullet"/>
      <w:lvlText w:val=""/>
      <w:lvlJc w:val="left"/>
      <w:pPr>
        <w:ind w:left="2160" w:hanging="360"/>
      </w:pPr>
      <w:rPr>
        <w:rFonts w:ascii="Wingdings" w:hAnsi="Wingdings" w:hint="default"/>
      </w:rPr>
    </w:lvl>
    <w:lvl w:ilvl="3" w:tplc="E2CE8654">
      <w:start w:val="1"/>
      <w:numFmt w:val="bullet"/>
      <w:lvlText w:val=""/>
      <w:lvlJc w:val="left"/>
      <w:pPr>
        <w:ind w:left="2880" w:hanging="360"/>
      </w:pPr>
      <w:rPr>
        <w:rFonts w:ascii="Symbol" w:hAnsi="Symbol" w:hint="default"/>
      </w:rPr>
    </w:lvl>
    <w:lvl w:ilvl="4" w:tplc="EBA84576">
      <w:start w:val="1"/>
      <w:numFmt w:val="bullet"/>
      <w:lvlText w:val="o"/>
      <w:lvlJc w:val="left"/>
      <w:pPr>
        <w:ind w:left="3600" w:hanging="360"/>
      </w:pPr>
      <w:rPr>
        <w:rFonts w:ascii="Courier New" w:hAnsi="Courier New" w:cs="Courier New" w:hint="default"/>
      </w:rPr>
    </w:lvl>
    <w:lvl w:ilvl="5" w:tplc="2E26C3C0">
      <w:start w:val="1"/>
      <w:numFmt w:val="bullet"/>
      <w:lvlText w:val=""/>
      <w:lvlJc w:val="left"/>
      <w:pPr>
        <w:ind w:left="4320" w:hanging="360"/>
      </w:pPr>
      <w:rPr>
        <w:rFonts w:ascii="Wingdings" w:hAnsi="Wingdings" w:hint="default"/>
      </w:rPr>
    </w:lvl>
    <w:lvl w:ilvl="6" w:tplc="297A8EFA">
      <w:start w:val="1"/>
      <w:numFmt w:val="bullet"/>
      <w:lvlText w:val=""/>
      <w:lvlJc w:val="left"/>
      <w:pPr>
        <w:ind w:left="5040" w:hanging="360"/>
      </w:pPr>
      <w:rPr>
        <w:rFonts w:ascii="Symbol" w:hAnsi="Symbol" w:hint="default"/>
      </w:rPr>
    </w:lvl>
    <w:lvl w:ilvl="7" w:tplc="B99876EE">
      <w:start w:val="1"/>
      <w:numFmt w:val="bullet"/>
      <w:lvlText w:val="o"/>
      <w:lvlJc w:val="left"/>
      <w:pPr>
        <w:ind w:left="5760" w:hanging="360"/>
      </w:pPr>
      <w:rPr>
        <w:rFonts w:ascii="Courier New" w:hAnsi="Courier New" w:cs="Courier New" w:hint="default"/>
      </w:rPr>
    </w:lvl>
    <w:lvl w:ilvl="8" w:tplc="F44CCAB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6"/>
  </w:num>
  <w:num w:numId="6">
    <w:abstractNumId w:val="7"/>
  </w:num>
  <w:num w:numId="7">
    <w:abstractNumId w:val="2"/>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0C6083"/>
    <w:rsid w:val="00144B1D"/>
    <w:rsid w:val="00152262"/>
    <w:rsid w:val="00160DAF"/>
    <w:rsid w:val="001738F2"/>
    <w:rsid w:val="001A7E32"/>
    <w:rsid w:val="001C3C8A"/>
    <w:rsid w:val="001C7FD2"/>
    <w:rsid w:val="001D0DC4"/>
    <w:rsid w:val="001E5C11"/>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411D2"/>
    <w:rsid w:val="00863152"/>
    <w:rsid w:val="008D2C20"/>
    <w:rsid w:val="008E6953"/>
    <w:rsid w:val="008F308D"/>
    <w:rsid w:val="008F4B39"/>
    <w:rsid w:val="00920164"/>
    <w:rsid w:val="009611A3"/>
    <w:rsid w:val="009678F5"/>
    <w:rsid w:val="00980D42"/>
    <w:rsid w:val="00986B1C"/>
    <w:rsid w:val="009920A3"/>
    <w:rsid w:val="009C0F61"/>
    <w:rsid w:val="00A1275D"/>
    <w:rsid w:val="00A548B7"/>
    <w:rsid w:val="00A85DE0"/>
    <w:rsid w:val="00AD53DA"/>
    <w:rsid w:val="00BB1F25"/>
    <w:rsid w:val="00BC7884"/>
    <w:rsid w:val="00C548FB"/>
    <w:rsid w:val="00C63DD2"/>
    <w:rsid w:val="00C662D2"/>
    <w:rsid w:val="00C748AD"/>
    <w:rsid w:val="00C87A23"/>
    <w:rsid w:val="00C9311F"/>
    <w:rsid w:val="00C94D28"/>
    <w:rsid w:val="00CD166A"/>
    <w:rsid w:val="00CF27E3"/>
    <w:rsid w:val="00CF7704"/>
    <w:rsid w:val="00CF7D27"/>
    <w:rsid w:val="00D7612F"/>
    <w:rsid w:val="00D832E7"/>
    <w:rsid w:val="00D90EA4"/>
    <w:rsid w:val="00DF023E"/>
    <w:rsid w:val="00DF4FE0"/>
    <w:rsid w:val="00DF7DBD"/>
    <w:rsid w:val="00E13F6D"/>
    <w:rsid w:val="00E62914"/>
    <w:rsid w:val="00E66428"/>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1E5C11"/>
    <w:rPr>
      <w:color w:val="605E5C"/>
      <w:shd w:val="clear" w:color="auto" w:fill="E1DFDD"/>
    </w:rPr>
  </w:style>
  <w:style w:type="character" w:styleId="Kommentarzeichen">
    <w:name w:val="annotation reference"/>
    <w:basedOn w:val="Absatz-Standardschriftart"/>
    <w:uiPriority w:val="99"/>
    <w:semiHidden/>
    <w:unhideWhenUsed/>
    <w:rsid w:val="001738F2"/>
    <w:rPr>
      <w:sz w:val="16"/>
      <w:szCs w:val="16"/>
    </w:rPr>
  </w:style>
  <w:style w:type="paragraph" w:styleId="Kommentartext">
    <w:name w:val="annotation text"/>
    <w:basedOn w:val="Standard"/>
    <w:link w:val="KommentartextZchn"/>
    <w:uiPriority w:val="99"/>
    <w:semiHidden/>
    <w:unhideWhenUsed/>
    <w:rsid w:val="001738F2"/>
    <w:rPr>
      <w:sz w:val="20"/>
      <w:szCs w:val="20"/>
    </w:rPr>
  </w:style>
  <w:style w:type="character" w:customStyle="1" w:styleId="KommentartextZchn">
    <w:name w:val="Kommentartext Zchn"/>
    <w:basedOn w:val="Absatz-Standardschriftart"/>
    <w:link w:val="Kommentartext"/>
    <w:uiPriority w:val="99"/>
    <w:semiHidden/>
    <w:rsid w:val="001738F2"/>
    <w:rPr>
      <w:sz w:val="20"/>
      <w:szCs w:val="20"/>
    </w:rPr>
  </w:style>
  <w:style w:type="paragraph" w:styleId="Kommentarthema">
    <w:name w:val="annotation subject"/>
    <w:basedOn w:val="Kommentartext"/>
    <w:next w:val="Kommentartext"/>
    <w:link w:val="KommentarthemaZchn"/>
    <w:uiPriority w:val="99"/>
    <w:semiHidden/>
    <w:unhideWhenUsed/>
    <w:rsid w:val="001738F2"/>
    <w:rPr>
      <w:b/>
      <w:bCs/>
    </w:rPr>
  </w:style>
  <w:style w:type="character" w:customStyle="1" w:styleId="KommentarthemaZchn">
    <w:name w:val="Kommentarthema Zchn"/>
    <w:basedOn w:val="KommentartextZchn"/>
    <w:link w:val="Kommentarthema"/>
    <w:uiPriority w:val="99"/>
    <w:semiHidden/>
    <w:rsid w:val="00173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digital-verbunden.net" TargetMode="External"/><Relationship Id="rId4" Type="http://schemas.openxmlformats.org/officeDocument/2006/relationships/settings" Target="settings.xml"/><Relationship Id="rId9" Type="http://schemas.openxmlformats.org/officeDocument/2006/relationships/hyperlink" Target="https://www.hshl.de/forschungsprojekt-dk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615A-A20C-4EE0-B128-98356AA0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Engels, Alexandra</cp:lastModifiedBy>
  <cp:revision>2</cp:revision>
  <cp:lastPrinted>2016-11-27T09:29:00Z</cp:lastPrinted>
  <dcterms:created xsi:type="dcterms:W3CDTF">2022-08-02T09:10:00Z</dcterms:created>
  <dcterms:modified xsi:type="dcterms:W3CDTF">2022-08-02T09:10:00Z</dcterms:modified>
</cp:coreProperties>
</file>